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FA" w:rsidRPr="002E6E12" w:rsidRDefault="00E20B16" w:rsidP="002E6E12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2E6E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國立臺灣戲曲學院</w:t>
      </w:r>
    </w:p>
    <w:p w:rsidR="00E20B16" w:rsidRPr="002E6E12" w:rsidRDefault="00E20B16" w:rsidP="002E6E12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2E6E1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產學合作績優獎勵</w:t>
      </w:r>
      <w:r w:rsidRPr="002E6E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要點</w:t>
      </w:r>
    </w:p>
    <w:p w:rsidR="00E20B16" w:rsidRDefault="00E20B16" w:rsidP="002E6E12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 w:cs="Arial" w:hint="eastAsia"/>
          <w:bCs/>
          <w:color w:val="000000"/>
          <w:sz w:val="28"/>
          <w:szCs w:val="28"/>
        </w:rPr>
      </w:pPr>
      <w:r w:rsidRPr="002E6E1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</w:p>
    <w:p w:rsidR="0012382F" w:rsidRDefault="0012382F" w:rsidP="0012382F">
      <w:pPr>
        <w:pStyle w:val="Default"/>
        <w:snapToGrid w:val="0"/>
        <w:jc w:val="right"/>
        <w:rPr>
          <w:rFonts w:hAnsi="標楷體" w:cs="Arial" w:hint="eastAsia"/>
          <w:bCs/>
          <w:sz w:val="28"/>
          <w:szCs w:val="28"/>
        </w:rPr>
      </w:pPr>
      <w:r>
        <w:rPr>
          <w:rFonts w:hAnsi="標楷體" w:cs="Arial" w:hint="eastAsia"/>
          <w:bCs/>
          <w:sz w:val="28"/>
          <w:szCs w:val="28"/>
        </w:rPr>
        <w:t>105年4月13日第234次行政會議通過</w:t>
      </w:r>
    </w:p>
    <w:p w:rsidR="0012382F" w:rsidRDefault="0012382F" w:rsidP="0012382F">
      <w:pPr>
        <w:pStyle w:val="Default"/>
        <w:snapToGrid w:val="0"/>
        <w:jc w:val="right"/>
        <w:rPr>
          <w:rFonts w:hAnsi="標楷體" w:cs="Arial" w:hint="eastAsia"/>
          <w:bCs/>
          <w:sz w:val="28"/>
          <w:szCs w:val="28"/>
        </w:rPr>
      </w:pPr>
      <w:r w:rsidRPr="0012382F">
        <w:rPr>
          <w:rFonts w:hAnsi="標楷體" w:cs="Arial" w:hint="eastAsia"/>
          <w:bCs/>
          <w:sz w:val="28"/>
          <w:szCs w:val="28"/>
        </w:rPr>
        <w:t>1</w:t>
      </w:r>
      <w:r>
        <w:rPr>
          <w:rFonts w:hAnsi="標楷體" w:cs="Arial" w:hint="eastAsia"/>
          <w:bCs/>
          <w:sz w:val="28"/>
          <w:szCs w:val="28"/>
        </w:rPr>
        <w:t>05年6月8日第44次校務基金管理委員會通過</w:t>
      </w:r>
    </w:p>
    <w:p w:rsidR="0012382F" w:rsidRPr="002E6E12" w:rsidRDefault="0012382F" w:rsidP="002E6E12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E20B16" w:rsidRPr="002E6E12" w:rsidRDefault="00E20B16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國立臺灣戲曲學院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（以下簡稱本校）為獎勵本校教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職員工積極參與產學合作，提昇本校產學合作績效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，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特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訂定本要點。</w:t>
      </w:r>
    </w:p>
    <w:p w:rsidR="00BA5F83" w:rsidRPr="002E6E12" w:rsidRDefault="00BA5F83" w:rsidP="002E6E12">
      <w:pPr>
        <w:pStyle w:val="a5"/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A5F83" w:rsidRPr="00660734" w:rsidRDefault="000A4E0B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本要點所稱產學合作</w:t>
      </w:r>
      <w:r w:rsidR="003D432B"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係指</w:t>
      </w:r>
      <w:r w:rsidR="00836E34"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依本校產學合作實施要點</w:t>
      </w:r>
      <w:r w:rsidR="002E6E12" w:rsidRPr="002E6E12">
        <w:rPr>
          <w:rFonts w:ascii="標楷體" w:eastAsia="標楷體" w:hAnsi="標楷體" w:hint="eastAsia"/>
          <w:bCs/>
          <w:color w:val="000000"/>
          <w:sz w:val="28"/>
          <w:szCs w:val="28"/>
        </w:rPr>
        <w:t>執行之各類產學合作案件。</w:t>
      </w:r>
    </w:p>
    <w:p w:rsidR="00660734" w:rsidRPr="00660734" w:rsidRDefault="00660734" w:rsidP="00660734">
      <w:pPr>
        <w:pStyle w:val="a5"/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D432B" w:rsidRPr="002E6E12" w:rsidRDefault="003D432B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採計產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學合作案件</w:t>
      </w:r>
      <w:r w:rsidR="00971A0B" w:rsidRPr="002E6E12">
        <w:rPr>
          <w:rFonts w:ascii="標楷體" w:eastAsia="標楷體" w:hAnsi="標楷體" w:hint="eastAsia"/>
          <w:color w:val="000000"/>
          <w:sz w:val="28"/>
          <w:szCs w:val="28"/>
        </w:rPr>
        <w:t>，係上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年度(一月至十二月)</w:t>
      </w:r>
      <w:r w:rsidR="001853C0" w:rsidRPr="002E6E12">
        <w:rPr>
          <w:rFonts w:ascii="標楷體" w:eastAsia="標楷體" w:hAnsi="標楷體" w:hint="eastAsia"/>
          <w:color w:val="000000"/>
          <w:sz w:val="28"/>
          <w:szCs w:val="28"/>
        </w:rPr>
        <w:t>須以學校名義並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="009A157E" w:rsidRPr="002E6E12">
        <w:rPr>
          <w:rFonts w:ascii="標楷體" w:eastAsia="標楷體" w:hAnsi="標楷體" w:hint="eastAsia"/>
          <w:color w:val="000000"/>
          <w:sz w:val="28"/>
          <w:szCs w:val="28"/>
        </w:rPr>
        <w:t>校內行政程序簽核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承接且已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完成</w:t>
      </w:r>
      <w:r w:rsidR="009A157E" w:rsidRPr="002E6E12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銷</w:t>
      </w:r>
      <w:r w:rsidR="00971A0B" w:rsidRPr="002E6E12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認列</w:t>
      </w:r>
      <w:r w:rsidR="00971A0B" w:rsidRPr="002E6E1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產學合作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金額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，跨年度計畫與多年期</w:t>
      </w: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計畫均以</w:t>
      </w:r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proofErr w:type="gramEnd"/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年度執行經費</w:t>
      </w: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計。</w:t>
      </w:r>
    </w:p>
    <w:p w:rsidR="00BA5F83" w:rsidRPr="002E6E12" w:rsidRDefault="00BA5F83" w:rsidP="002E6E12">
      <w:pPr>
        <w:pStyle w:val="a5"/>
        <w:tabs>
          <w:tab w:val="left" w:pos="567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51531" w:rsidRPr="002E6E12" w:rsidRDefault="00451531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研究發展處提供年度個人及單位執行產學合作案件統計資料，由</w:t>
      </w:r>
      <w:r w:rsidR="001853C0" w:rsidRPr="002E6E1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產學合作績優</w:t>
      </w:r>
      <w:r w:rsidR="001853C0" w:rsidRPr="002E6E12">
        <w:rPr>
          <w:rFonts w:ascii="標楷體" w:eastAsia="標楷體" w:hAnsi="標楷體" w:hint="eastAsia"/>
          <w:color w:val="000000"/>
          <w:sz w:val="28"/>
          <w:szCs w:val="28"/>
        </w:rPr>
        <w:t>獎勵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審議小組</w:t>
      </w:r>
      <w:r w:rsidR="001853C0" w:rsidRPr="002E6E12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審議。審議小組</w:t>
      </w:r>
      <w:r w:rsidR="001853C0" w:rsidRPr="002E6E12">
        <w:rPr>
          <w:rFonts w:ascii="標楷體" w:eastAsia="標楷體" w:hAnsi="標楷體" w:hint="eastAsia"/>
          <w:color w:val="000000"/>
          <w:sz w:val="28"/>
          <w:szCs w:val="28"/>
        </w:rPr>
        <w:t>成員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由副校長、主任秘書、教務長、研發長、各教學單位主管、人事室主任、</w:t>
      </w:r>
      <w:r w:rsidR="003B5E8D" w:rsidRPr="002E6E12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計室主任組成。</w:t>
      </w:r>
    </w:p>
    <w:p w:rsidR="00BA5F83" w:rsidRPr="002E6E12" w:rsidRDefault="00BA5F83" w:rsidP="002E6E12">
      <w:pPr>
        <w:tabs>
          <w:tab w:val="left" w:pos="567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D432B" w:rsidRPr="002E6E12" w:rsidRDefault="003D432B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獎勵標準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E2A48" w:rsidRPr="002E6E12" w:rsidRDefault="00971A0B" w:rsidP="002E6E12">
      <w:pPr>
        <w:tabs>
          <w:tab w:val="left" w:pos="567"/>
        </w:tabs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卓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越</w:t>
      </w:r>
      <w:r w:rsidR="002E2A48" w:rsidRPr="002E6E12">
        <w:rPr>
          <w:rFonts w:ascii="標楷體" w:eastAsia="標楷體" w:hAnsi="標楷體" w:hint="eastAsia"/>
          <w:color w:val="000000"/>
          <w:sz w:val="28"/>
          <w:szCs w:val="28"/>
        </w:rPr>
        <w:t>獎</w:t>
      </w:r>
    </w:p>
    <w:p w:rsidR="002E2A48" w:rsidRPr="002E6E12" w:rsidRDefault="00971A0B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2E2A48" w:rsidRPr="002E6E12">
        <w:rPr>
          <w:rFonts w:ascii="標楷體" w:eastAsia="標楷體" w:hAnsi="標楷體" w:hint="eastAsia"/>
          <w:color w:val="000000"/>
          <w:sz w:val="28"/>
          <w:szCs w:val="28"/>
        </w:rPr>
        <w:t>個人執行產學合作案件，當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年度累計達100萬，且已編列符合本校規定之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2E2A48" w:rsidRPr="002E6E12" w:rsidRDefault="00971A0B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2E2A48" w:rsidRPr="002E6E12">
        <w:rPr>
          <w:rFonts w:ascii="標楷體" w:eastAsia="標楷體" w:hAnsi="標楷體" w:hint="eastAsia"/>
          <w:color w:val="000000"/>
          <w:sz w:val="28"/>
          <w:szCs w:val="28"/>
        </w:rPr>
        <w:t>單位執行產學合作案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件，</w:t>
      </w:r>
      <w:r w:rsidR="002E2A48" w:rsidRPr="002E6E12">
        <w:rPr>
          <w:rFonts w:ascii="標楷體" w:eastAsia="標楷體" w:hAnsi="標楷體" w:hint="eastAsia"/>
          <w:color w:val="000000"/>
          <w:sz w:val="28"/>
          <w:szCs w:val="28"/>
        </w:rPr>
        <w:t>當年度累計達500萬以上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，且已編列符合本校規定之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2E2A48" w:rsidRPr="002E6E12" w:rsidRDefault="00971A0B" w:rsidP="002E6E12">
      <w:pPr>
        <w:tabs>
          <w:tab w:val="left" w:pos="567"/>
        </w:tabs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傑出</w:t>
      </w:r>
      <w:r w:rsidR="002E2A48" w:rsidRPr="002E6E12">
        <w:rPr>
          <w:rFonts w:ascii="標楷體" w:eastAsia="標楷體" w:hAnsi="標楷體" w:hint="eastAsia"/>
          <w:color w:val="000000"/>
          <w:sz w:val="28"/>
          <w:szCs w:val="28"/>
        </w:rPr>
        <w:t>獎</w:t>
      </w:r>
    </w:p>
    <w:p w:rsidR="006B2D74" w:rsidRPr="002E6E12" w:rsidRDefault="006B2D74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1.個人執行產學合作案件，當年度累計達50萬，且已編列符合本校規定之</w:t>
      </w:r>
      <w:proofErr w:type="gramStart"/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管費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2D74" w:rsidRPr="002E6E12" w:rsidRDefault="006B2D74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2.單位執行產學合作案件，當年度累計達300萬以上，且已編列符合本校規定之</w:t>
      </w:r>
      <w:proofErr w:type="gramStart"/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管費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D432B" w:rsidRPr="002E6E12" w:rsidRDefault="00971A0B" w:rsidP="002E6E12">
      <w:pPr>
        <w:tabs>
          <w:tab w:val="left" w:pos="567"/>
        </w:tabs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優良獎</w:t>
      </w:r>
    </w:p>
    <w:p w:rsidR="006B2D74" w:rsidRPr="002E6E12" w:rsidRDefault="006B2D74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1.個人執行產學合作案件，當年度累計達30萬，且已編列符合本校規定之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6B2D74" w:rsidRPr="002E6E12" w:rsidRDefault="006B2D74" w:rsidP="00975270">
      <w:pPr>
        <w:tabs>
          <w:tab w:val="left" w:pos="567"/>
        </w:tabs>
        <w:snapToGrid w:val="0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2.單位執行產學合作案件，當年度累計達150萬以上，且已編列符合本校規定之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8826CA" w:rsidRPr="002E6E12" w:rsidRDefault="00975270" w:rsidP="00975270">
      <w:pPr>
        <w:tabs>
          <w:tab w:val="left" w:pos="567"/>
        </w:tabs>
        <w:snapToGrid w:val="0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26CA" w:rsidRPr="002E6E12">
        <w:rPr>
          <w:rFonts w:ascii="標楷體" w:eastAsia="標楷體" w:hAnsi="標楷體" w:hint="eastAsia"/>
          <w:color w:val="000000"/>
          <w:sz w:val="28"/>
          <w:szCs w:val="28"/>
        </w:rPr>
        <w:t>(四)行政支援</w:t>
      </w:r>
      <w:r w:rsidR="00A847D7" w:rsidRPr="002E6E12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8826CA" w:rsidRPr="002E6E12">
        <w:rPr>
          <w:rFonts w:ascii="標楷體" w:eastAsia="標楷體" w:hAnsi="標楷體" w:hint="eastAsia"/>
          <w:color w:val="000000"/>
          <w:sz w:val="28"/>
          <w:szCs w:val="28"/>
        </w:rPr>
        <w:t>獎勵：學校年度產學合作總額達1000萬元以上，辦理產學合作行政</w:t>
      </w:r>
      <w:r w:rsidR="00A847D7" w:rsidRPr="002E6E12">
        <w:rPr>
          <w:rFonts w:ascii="標楷體" w:eastAsia="標楷體" w:hAnsi="標楷體" w:hint="eastAsia"/>
          <w:color w:val="000000"/>
          <w:sz w:val="28"/>
          <w:szCs w:val="28"/>
        </w:rPr>
        <w:t>支援</w:t>
      </w:r>
      <w:r w:rsidR="008826CA" w:rsidRPr="002E6E12"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="0053679C" w:rsidRPr="002E6E12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r w:rsidR="008826CA" w:rsidRPr="002E6E12">
        <w:rPr>
          <w:rFonts w:ascii="標楷體" w:eastAsia="標楷體" w:hAnsi="標楷體" w:hint="eastAsia"/>
          <w:color w:val="000000"/>
          <w:sz w:val="28"/>
          <w:szCs w:val="28"/>
        </w:rPr>
        <w:t>（研發處、</w:t>
      </w:r>
      <w:r w:rsidR="00A847D7" w:rsidRPr="002E6E12">
        <w:rPr>
          <w:rFonts w:ascii="標楷體" w:eastAsia="標楷體" w:hAnsi="標楷體" w:hint="eastAsia"/>
          <w:color w:val="000000"/>
          <w:sz w:val="28"/>
          <w:szCs w:val="28"/>
        </w:rPr>
        <w:t>主計室、總務處、教務處、</w:t>
      </w:r>
      <w:r w:rsidR="005664D3" w:rsidRPr="002E6E1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5664D3" w:rsidRPr="002E6E12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A847D7" w:rsidRPr="002E6E12">
        <w:rPr>
          <w:rFonts w:ascii="標楷體" w:eastAsia="標楷體" w:hAnsi="標楷體" w:hint="eastAsia"/>
          <w:color w:val="000000"/>
          <w:sz w:val="28"/>
          <w:szCs w:val="28"/>
        </w:rPr>
        <w:t>處、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藝文中心、</w:t>
      </w:r>
      <w:r w:rsidR="00940FD5" w:rsidRPr="002E6E12">
        <w:rPr>
          <w:rFonts w:ascii="標楷體" w:eastAsia="標楷體" w:hAnsi="標楷體" w:hint="eastAsia"/>
          <w:color w:val="000000"/>
          <w:sz w:val="28"/>
          <w:szCs w:val="28"/>
        </w:rPr>
        <w:t>人事室、秘書室、</w:t>
      </w:r>
      <w:r w:rsidR="00112BC2" w:rsidRPr="002E6E12">
        <w:rPr>
          <w:rFonts w:ascii="標楷體" w:eastAsia="標楷體" w:hAnsi="標楷體" w:hint="eastAsia"/>
          <w:color w:val="000000"/>
          <w:sz w:val="28"/>
          <w:szCs w:val="28"/>
        </w:rPr>
        <w:t>圖資中心</w:t>
      </w:r>
      <w:r w:rsidR="00A847D7" w:rsidRPr="002E6E1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826CA" w:rsidRPr="002E6E12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6B2D74" w:rsidRPr="002E6E12" w:rsidRDefault="006B2D74" w:rsidP="002E6E12">
      <w:pPr>
        <w:tabs>
          <w:tab w:val="left" w:pos="567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A4E0B" w:rsidRPr="002E6E12" w:rsidRDefault="001853C0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獎勵</w:t>
      </w:r>
      <w:r w:rsidR="006B2D74" w:rsidRPr="002E6E12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：符合第五點獎勵標準並通過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產學合作績優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獎勵</w:t>
      </w:r>
      <w:r w:rsidR="00451531" w:rsidRPr="002E6E12">
        <w:rPr>
          <w:rFonts w:ascii="標楷體" w:eastAsia="標楷體" w:hAnsi="標楷體" w:hint="eastAsia"/>
          <w:color w:val="000000"/>
          <w:sz w:val="28"/>
          <w:szCs w:val="28"/>
        </w:rPr>
        <w:t>審議小組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審議後公開表揚：</w:t>
      </w:r>
    </w:p>
    <w:p w:rsidR="00390D03" w:rsidRPr="002E6E12" w:rsidRDefault="00451531" w:rsidP="00975270">
      <w:pPr>
        <w:pStyle w:val="a5"/>
        <w:numPr>
          <w:ilvl w:val="0"/>
          <w:numId w:val="7"/>
        </w:numPr>
        <w:tabs>
          <w:tab w:val="left" w:pos="567"/>
        </w:tabs>
        <w:snapToGrid w:val="0"/>
        <w:ind w:leftChars="250" w:left="957" w:hanging="3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卓越獎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行政獎勵及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個人或單位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獎勵金</w:t>
      </w:r>
      <w:r w:rsidR="00390D03" w:rsidRPr="002E6E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90D03" w:rsidRPr="002E6E12" w:rsidRDefault="001C318B" w:rsidP="00975270">
      <w:pPr>
        <w:pStyle w:val="a5"/>
        <w:numPr>
          <w:ilvl w:val="0"/>
          <w:numId w:val="7"/>
        </w:numPr>
        <w:tabs>
          <w:tab w:val="left" w:pos="567"/>
        </w:tabs>
        <w:snapToGrid w:val="0"/>
        <w:ind w:leftChars="250" w:left="957" w:hanging="3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傑出獎：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行政獎勵及</w:t>
      </w:r>
      <w:r w:rsidR="00660734" w:rsidRPr="002E6E12">
        <w:rPr>
          <w:rFonts w:ascii="標楷體" w:eastAsia="標楷體" w:hAnsi="標楷體" w:hint="eastAsia"/>
          <w:color w:val="000000"/>
          <w:sz w:val="28"/>
          <w:szCs w:val="28"/>
        </w:rPr>
        <w:t>個人或單位獎勵金。</w:t>
      </w:r>
    </w:p>
    <w:p w:rsidR="00390D03" w:rsidRPr="002E6E12" w:rsidRDefault="001C318B" w:rsidP="00975270">
      <w:pPr>
        <w:pStyle w:val="a5"/>
        <w:numPr>
          <w:ilvl w:val="0"/>
          <w:numId w:val="7"/>
        </w:numPr>
        <w:tabs>
          <w:tab w:val="left" w:pos="567"/>
        </w:tabs>
        <w:snapToGrid w:val="0"/>
        <w:ind w:leftChars="250" w:left="957" w:hanging="3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優良獎：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行政獎勵及</w:t>
      </w:r>
      <w:r w:rsidR="00660734" w:rsidRPr="002E6E12">
        <w:rPr>
          <w:rFonts w:ascii="標楷體" w:eastAsia="標楷體" w:hAnsi="標楷體" w:hint="eastAsia"/>
          <w:color w:val="000000"/>
          <w:sz w:val="28"/>
          <w:szCs w:val="28"/>
        </w:rPr>
        <w:t>個人或單位獎勵金。</w:t>
      </w:r>
    </w:p>
    <w:p w:rsidR="005664D3" w:rsidRPr="002E6E12" w:rsidRDefault="005664D3" w:rsidP="00975270">
      <w:pPr>
        <w:pStyle w:val="a5"/>
        <w:numPr>
          <w:ilvl w:val="0"/>
          <w:numId w:val="7"/>
        </w:numPr>
        <w:tabs>
          <w:tab w:val="left" w:pos="567"/>
        </w:tabs>
        <w:snapToGrid w:val="0"/>
        <w:ind w:leftChars="250" w:left="957" w:hanging="3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行政支援單位獎勵。</w:t>
      </w:r>
    </w:p>
    <w:p w:rsidR="001C318B" w:rsidRPr="002E6E12" w:rsidRDefault="001C318B" w:rsidP="002E6E12">
      <w:pPr>
        <w:tabs>
          <w:tab w:val="left" w:pos="567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25FA" w:rsidRPr="002E6E12" w:rsidRDefault="001853C0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第六點所稱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奬勵金</w:t>
      </w:r>
      <w:r w:rsidR="002E41DB" w:rsidRPr="002E6E12">
        <w:rPr>
          <w:rFonts w:ascii="標楷體" w:eastAsia="標楷體" w:hAnsi="標楷體" w:hint="eastAsia"/>
          <w:color w:val="000000"/>
          <w:sz w:val="28"/>
          <w:szCs w:val="28"/>
        </w:rPr>
        <w:t>，其經費來源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如下：</w:t>
      </w:r>
    </w:p>
    <w:p w:rsidR="00E625FA" w:rsidRPr="002E6E12" w:rsidRDefault="00BA5F83" w:rsidP="002E6E12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個人獎勵金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當年個人產學合作案件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(不含</w:t>
      </w:r>
      <w:proofErr w:type="gramStart"/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科技部或教育部</w:t>
      </w:r>
      <w:proofErr w:type="gramEnd"/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研究補助計畫)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所提行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費百分之十額度內核發</w:t>
      </w:r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C318B" w:rsidRPr="002E6E12" w:rsidRDefault="00BA5F83" w:rsidP="002E6E12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單位獎勵</w:t>
      </w: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金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當年度</w:t>
      </w:r>
      <w:proofErr w:type="gramEnd"/>
      <w:r w:rsidR="00E625FA" w:rsidRPr="002E6E12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產學合作案件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餘款</w:t>
      </w:r>
      <w:r w:rsidR="00262F20" w:rsidRPr="002E6E12">
        <w:rPr>
          <w:rFonts w:ascii="標楷體" w:eastAsia="標楷體" w:hAnsi="標楷體" w:hint="eastAsia"/>
          <w:color w:val="000000"/>
          <w:sz w:val="28"/>
          <w:szCs w:val="28"/>
        </w:rPr>
        <w:t>分配業務主管單位之</w:t>
      </w:r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百分之十額度內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25579" w:rsidRPr="002E6E12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該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及研發處</w:t>
      </w:r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依據參與者</w:t>
      </w:r>
      <w:proofErr w:type="gramStart"/>
      <w:r w:rsidR="00647A08" w:rsidRPr="002E6E12">
        <w:rPr>
          <w:rFonts w:ascii="標楷體" w:eastAsia="標楷體" w:hAnsi="標楷體" w:hint="eastAsia"/>
          <w:color w:val="000000"/>
          <w:sz w:val="28"/>
          <w:szCs w:val="28"/>
        </w:rPr>
        <w:t>貢獻度造冊</w:t>
      </w:r>
      <w:proofErr w:type="gramEnd"/>
      <w:r w:rsidR="001C318B" w:rsidRPr="002E6E12">
        <w:rPr>
          <w:rFonts w:ascii="標楷體" w:eastAsia="標楷體" w:hAnsi="標楷體" w:hint="eastAsia"/>
          <w:color w:val="000000"/>
          <w:sz w:val="28"/>
          <w:szCs w:val="28"/>
        </w:rPr>
        <w:t>核發。</w:t>
      </w:r>
    </w:p>
    <w:p w:rsidR="00A847D7" w:rsidRPr="002E6E12" w:rsidRDefault="00A847D7" w:rsidP="002E6E12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行政支援</w:t>
      </w:r>
      <w:proofErr w:type="gramStart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單位依當年度</w:t>
      </w:r>
      <w:proofErr w:type="gramEnd"/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所提行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管</w:t>
      </w:r>
      <w:r w:rsidR="00660734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費百分之</w:t>
      </w:r>
      <w:r w:rsidR="0053679C" w:rsidRPr="002E6E1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額度內，依以下比例獎勵：</w:t>
      </w:r>
    </w:p>
    <w:p w:rsidR="00A847D7" w:rsidRPr="002E6E12" w:rsidRDefault="00A847D7" w:rsidP="002E6E12">
      <w:pPr>
        <w:pStyle w:val="a5"/>
        <w:tabs>
          <w:tab w:val="left" w:pos="567"/>
        </w:tabs>
        <w:snapToGrid w:val="0"/>
        <w:ind w:leftChars="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研發處</w:t>
      </w:r>
      <w:r w:rsidR="0053679C" w:rsidRPr="002E6E1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%、主計室2</w:t>
      </w:r>
      <w:r w:rsidR="0053679C" w:rsidRPr="002E6E1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%、總務處2</w:t>
      </w:r>
      <w:r w:rsidR="0053679C" w:rsidRPr="002E6E1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%、教務處</w:t>
      </w:r>
      <w:r w:rsidR="00A76237" w:rsidRPr="002E6E1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5664D3" w:rsidRPr="002E6E12">
        <w:rPr>
          <w:rFonts w:ascii="標楷體" w:eastAsia="標楷體" w:hAnsi="標楷體" w:hint="eastAsia"/>
          <w:color w:val="000000"/>
          <w:sz w:val="28"/>
          <w:szCs w:val="28"/>
        </w:rPr>
        <w:t>、學務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A76237" w:rsidRPr="002E6E1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%、</w:t>
      </w:r>
      <w:r w:rsidR="00975270">
        <w:rPr>
          <w:rFonts w:ascii="標楷體" w:eastAsia="標楷體" w:hAnsi="標楷體" w:hint="eastAsia"/>
          <w:color w:val="000000"/>
          <w:sz w:val="28"/>
          <w:szCs w:val="28"/>
        </w:rPr>
        <w:t>藝文中心</w:t>
      </w:r>
      <w:r w:rsidR="00E5072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75270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940FD5" w:rsidRPr="002E6E12">
        <w:rPr>
          <w:rFonts w:ascii="標楷體" w:eastAsia="標楷體" w:hAnsi="標楷體" w:hint="eastAsia"/>
          <w:color w:val="000000"/>
          <w:sz w:val="28"/>
          <w:szCs w:val="28"/>
        </w:rPr>
        <w:t>人事室</w:t>
      </w:r>
      <w:r w:rsidR="00940FD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940FD5" w:rsidRPr="002E6E12">
        <w:rPr>
          <w:rFonts w:ascii="標楷體" w:eastAsia="標楷體" w:hAnsi="標楷體" w:hint="eastAsia"/>
          <w:color w:val="000000"/>
          <w:sz w:val="28"/>
          <w:szCs w:val="28"/>
        </w:rPr>
        <w:t>%、</w:t>
      </w:r>
      <w:r w:rsidR="00975270" w:rsidRPr="002E6E12">
        <w:rPr>
          <w:rFonts w:ascii="標楷體" w:eastAsia="標楷體" w:hAnsi="標楷體" w:hint="eastAsia"/>
          <w:color w:val="000000"/>
          <w:sz w:val="28"/>
          <w:szCs w:val="28"/>
        </w:rPr>
        <w:t>秘書室</w:t>
      </w:r>
      <w:r w:rsidR="00E507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2382F">
        <w:rPr>
          <w:rFonts w:ascii="標楷體" w:eastAsia="標楷體" w:hAnsi="標楷體" w:hint="eastAsia"/>
          <w:color w:val="000000"/>
          <w:sz w:val="28"/>
          <w:szCs w:val="28"/>
        </w:rPr>
        <w:t>%</w:t>
      </w:r>
      <w:bookmarkStart w:id="0" w:name="_GoBack"/>
      <w:bookmarkEnd w:id="0"/>
      <w:r w:rsidR="00975270" w:rsidRPr="002E6E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12BC2" w:rsidRPr="002E6E12">
        <w:rPr>
          <w:rFonts w:ascii="標楷體" w:eastAsia="標楷體" w:hAnsi="標楷體" w:hint="eastAsia"/>
          <w:color w:val="000000"/>
          <w:sz w:val="28"/>
          <w:szCs w:val="28"/>
        </w:rPr>
        <w:t>圖資中心</w:t>
      </w:r>
      <w:r w:rsidR="0097527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12BC2" w:rsidRPr="002E6E12">
        <w:rPr>
          <w:rFonts w:ascii="標楷體" w:eastAsia="標楷體" w:hAnsi="標楷體" w:hint="eastAsia"/>
          <w:color w:val="000000"/>
          <w:sz w:val="28"/>
          <w:szCs w:val="28"/>
        </w:rPr>
        <w:t>%</w:t>
      </w:r>
    </w:p>
    <w:p w:rsidR="00BA5F83" w:rsidRPr="002E6E12" w:rsidRDefault="00BA5F83" w:rsidP="002E6E12">
      <w:pPr>
        <w:pStyle w:val="a5"/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853C0" w:rsidRPr="002E6E12" w:rsidRDefault="001853C0" w:rsidP="002E6E12">
      <w:pPr>
        <w:pStyle w:val="a5"/>
        <w:numPr>
          <w:ilvl w:val="0"/>
          <w:numId w:val="2"/>
        </w:numPr>
        <w:tabs>
          <w:tab w:val="left" w:pos="567"/>
        </w:tabs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E6E12">
        <w:rPr>
          <w:rFonts w:ascii="標楷體" w:eastAsia="標楷體" w:hAnsi="標楷體"/>
          <w:color w:val="000000"/>
          <w:sz w:val="28"/>
          <w:szCs w:val="28"/>
        </w:rPr>
        <w:t>本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經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行政會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議通過，陳請校長核定後公</w:t>
      </w:r>
      <w:r w:rsidRPr="002E6E12">
        <w:rPr>
          <w:rFonts w:ascii="標楷體" w:eastAsia="標楷體" w:hAnsi="標楷體" w:hint="eastAsia"/>
          <w:color w:val="000000"/>
          <w:sz w:val="28"/>
          <w:szCs w:val="28"/>
        </w:rPr>
        <w:t>布</w:t>
      </w:r>
      <w:r w:rsidRPr="002E6E12">
        <w:rPr>
          <w:rFonts w:ascii="標楷體" w:eastAsia="標楷體" w:hAnsi="標楷體"/>
          <w:color w:val="000000"/>
          <w:sz w:val="28"/>
          <w:szCs w:val="28"/>
        </w:rPr>
        <w:t>實施，修正時亦同。</w:t>
      </w:r>
    </w:p>
    <w:p w:rsidR="00EF259D" w:rsidRPr="002E6E12" w:rsidRDefault="00E20B16" w:rsidP="002E6E12">
      <w:pPr>
        <w:tabs>
          <w:tab w:val="left" w:pos="567"/>
        </w:tabs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E6E12">
        <w:rPr>
          <w:rFonts w:ascii="標楷體" w:eastAsia="標楷體" w:hAnsi="標楷體" w:cs="標楷體,Bold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1F5D" wp14:editId="6C590F9E">
                <wp:simplePos x="0" y="0"/>
                <wp:positionH relativeFrom="column">
                  <wp:posOffset>-762000</wp:posOffset>
                </wp:positionH>
                <wp:positionV relativeFrom="paragraph">
                  <wp:posOffset>1829435</wp:posOffset>
                </wp:positionV>
                <wp:extent cx="1066800" cy="457200"/>
                <wp:effectExtent l="4445" t="3175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16" w:rsidRPr="00220596" w:rsidRDefault="00E20B16" w:rsidP="00E20B16">
                            <w:pPr>
                              <w:spacing w:line="180" w:lineRule="atLeast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60pt;margin-top:144.05pt;width:8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" filled="f" stroked="f">
                <v:textbox>
                  <w:txbxContent>
                    <w:p w:rsidR="00E20B16" w:rsidRPr="00220596" w:rsidRDefault="00E20B16" w:rsidP="00E20B16">
                      <w:pPr>
                        <w:spacing w:line="180" w:lineRule="atLeast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F259D" w:rsidRPr="002E6E12" w:rsidSect="00DA048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57" w:rsidRDefault="00015457" w:rsidP="00262F20">
      <w:r>
        <w:separator/>
      </w:r>
    </w:p>
  </w:endnote>
  <w:endnote w:type="continuationSeparator" w:id="0">
    <w:p w:rsidR="00015457" w:rsidRDefault="00015457" w:rsidP="002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57" w:rsidRDefault="00015457" w:rsidP="00262F20">
      <w:r>
        <w:separator/>
      </w:r>
    </w:p>
  </w:footnote>
  <w:footnote w:type="continuationSeparator" w:id="0">
    <w:p w:rsidR="00015457" w:rsidRDefault="00015457" w:rsidP="0026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8B"/>
    <w:multiLevelType w:val="hybridMultilevel"/>
    <w:tmpl w:val="430A6102"/>
    <w:lvl w:ilvl="0" w:tplc="4A9241D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6B21E1"/>
    <w:multiLevelType w:val="hybridMultilevel"/>
    <w:tmpl w:val="85EAE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E3D9C"/>
    <w:multiLevelType w:val="hybridMultilevel"/>
    <w:tmpl w:val="83C8F89A"/>
    <w:lvl w:ilvl="0" w:tplc="A1F010C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27477B6"/>
    <w:multiLevelType w:val="hybridMultilevel"/>
    <w:tmpl w:val="430A6102"/>
    <w:lvl w:ilvl="0" w:tplc="4A9241D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89508AE"/>
    <w:multiLevelType w:val="hybridMultilevel"/>
    <w:tmpl w:val="04BABCCE"/>
    <w:lvl w:ilvl="0" w:tplc="8350F7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BD71C8"/>
    <w:multiLevelType w:val="hybridMultilevel"/>
    <w:tmpl w:val="FF4A7668"/>
    <w:lvl w:ilvl="0" w:tplc="8B4E94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627CB0"/>
    <w:multiLevelType w:val="hybridMultilevel"/>
    <w:tmpl w:val="B902F1B4"/>
    <w:lvl w:ilvl="0" w:tplc="4990AF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A5398D"/>
    <w:multiLevelType w:val="hybridMultilevel"/>
    <w:tmpl w:val="3B1AD51E"/>
    <w:lvl w:ilvl="0" w:tplc="2402CEA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16"/>
    <w:rsid w:val="00015457"/>
    <w:rsid w:val="00025357"/>
    <w:rsid w:val="000A4E0B"/>
    <w:rsid w:val="000D1041"/>
    <w:rsid w:val="00112BC2"/>
    <w:rsid w:val="0012382F"/>
    <w:rsid w:val="001853C0"/>
    <w:rsid w:val="001C318B"/>
    <w:rsid w:val="001C4385"/>
    <w:rsid w:val="0026200C"/>
    <w:rsid w:val="00262F20"/>
    <w:rsid w:val="00293176"/>
    <w:rsid w:val="00297719"/>
    <w:rsid w:val="002E2A2E"/>
    <w:rsid w:val="002E2A48"/>
    <w:rsid w:val="002E41DB"/>
    <w:rsid w:val="002E6E12"/>
    <w:rsid w:val="00317E90"/>
    <w:rsid w:val="00390D03"/>
    <w:rsid w:val="003B5E8D"/>
    <w:rsid w:val="003C1BED"/>
    <w:rsid w:val="003D432B"/>
    <w:rsid w:val="00413B14"/>
    <w:rsid w:val="00425579"/>
    <w:rsid w:val="00451531"/>
    <w:rsid w:val="00461D52"/>
    <w:rsid w:val="00480628"/>
    <w:rsid w:val="0053679C"/>
    <w:rsid w:val="005664D3"/>
    <w:rsid w:val="00647A08"/>
    <w:rsid w:val="00660734"/>
    <w:rsid w:val="00683F53"/>
    <w:rsid w:val="006B2D74"/>
    <w:rsid w:val="00703959"/>
    <w:rsid w:val="007535A2"/>
    <w:rsid w:val="00781366"/>
    <w:rsid w:val="007B1967"/>
    <w:rsid w:val="00810E8B"/>
    <w:rsid w:val="00836E34"/>
    <w:rsid w:val="008826CA"/>
    <w:rsid w:val="00940FD5"/>
    <w:rsid w:val="00971A0B"/>
    <w:rsid w:val="00975270"/>
    <w:rsid w:val="009A157E"/>
    <w:rsid w:val="009C3446"/>
    <w:rsid w:val="00A42DE1"/>
    <w:rsid w:val="00A615A7"/>
    <w:rsid w:val="00A76237"/>
    <w:rsid w:val="00A84359"/>
    <w:rsid w:val="00A847D7"/>
    <w:rsid w:val="00AC3D8E"/>
    <w:rsid w:val="00BA5F83"/>
    <w:rsid w:val="00C37BE9"/>
    <w:rsid w:val="00CD754A"/>
    <w:rsid w:val="00DB28D7"/>
    <w:rsid w:val="00DE7EDD"/>
    <w:rsid w:val="00E20B16"/>
    <w:rsid w:val="00E50723"/>
    <w:rsid w:val="00E625FA"/>
    <w:rsid w:val="00EC7C30"/>
    <w:rsid w:val="00EF259D"/>
    <w:rsid w:val="00F01B91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20B1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Plain Text"/>
    <w:basedOn w:val="a"/>
    <w:link w:val="a4"/>
    <w:rsid w:val="00E20B1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20B1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E20B1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7A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2F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2F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238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20B1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Plain Text"/>
    <w:basedOn w:val="a"/>
    <w:link w:val="a4"/>
    <w:rsid w:val="00E20B1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20B1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E20B1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7A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2F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2F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238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24</cp:revision>
  <cp:lastPrinted>2016-02-20T06:02:00Z</cp:lastPrinted>
  <dcterms:created xsi:type="dcterms:W3CDTF">2016-01-27T08:27:00Z</dcterms:created>
  <dcterms:modified xsi:type="dcterms:W3CDTF">2016-10-26T03:15:00Z</dcterms:modified>
</cp:coreProperties>
</file>